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团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干</w: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部属性判定参考标准</w:t>
      </w:r>
    </w:p>
    <w:bookmarkEnd w:id="0"/>
    <w:p>
      <w:pPr>
        <w:rPr>
          <w:rFonts w:hint="eastAsia"/>
        </w:rPr>
      </w:pP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专职团干部</w:t>
      </w:r>
      <w:r>
        <w:rPr>
          <w:rFonts w:hint="eastAsia" w:ascii="微软雅黑" w:hAnsi="微软雅黑" w:eastAsia="微软雅黑" w:cs="微软雅黑"/>
          <w:sz w:val="32"/>
          <w:szCs w:val="32"/>
        </w:rPr>
        <w:t>,是指在按照“三定”方案单独设置的团的组织机构中，有正式编制(或岗位设置)的团干部。包括团的领导机关内全体在编干部、从事团务工作的聘用人员;机关事业单位中.给定编制或组织发文设置专门岗位的团干部;企业及社会组织中.由行政、人事部门发文设置专门岗位的团干部。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挂职团干部</w:t>
      </w:r>
      <w:r>
        <w:rPr>
          <w:rFonts w:hint="eastAsia" w:ascii="微软雅黑" w:hAnsi="微软雅黑" w:eastAsia="微软雅黑" w:cs="微软雅黑"/>
          <w:sz w:val="32"/>
          <w:szCs w:val="32"/>
        </w:rPr>
        <w:t>，是指经组织选派到团组织担任相应职务的团干部。挂职团干部一般不改变干部原有行政关系、干部管理权限，有组织委任的具体团内职务，且有明确的挂职期限，并在挂职期内不再承担原单位工作。</w:t>
      </w:r>
    </w:p>
    <w:p>
      <w:pPr>
        <w:ind w:firstLine="640" w:firstLineChars="20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兼职团干部</w:t>
      </w:r>
      <w:r>
        <w:rPr>
          <w:rFonts w:hint="eastAsia" w:ascii="微软雅黑" w:hAnsi="微软雅黑" w:eastAsia="微软雅黑" w:cs="微软雅黑"/>
          <w:sz w:val="32"/>
          <w:szCs w:val="32"/>
        </w:rPr>
        <w:t>，是指在本职工作之外，在团组织中从事共青团工作的团干部。兼职团十部一般不改变干部原有行政关系和干部管理权限。学生团干部全部属于兼职团干部。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6D21"/>
    <w:rsid w:val="4F6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2020-11-11T04:31:00Z</dcterms:created>
  <dc:creator>lili</dc:creator>
  <cp:lastModifiedBy>lili</cp:lastModifiedBy>
  <dcterms:modified xsi:type="dcterms:W3CDTF">2020-11-11T05:15:19Z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